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黑体" w:cs="黑体"/>
          <w:sz w:val="32"/>
          <w:szCs w:val="32"/>
        </w:rPr>
      </w:pPr>
    </w:p>
    <w:p>
      <w:pPr>
        <w:spacing w:line="640" w:lineRule="exact"/>
        <w:rPr>
          <w:rFonts w:ascii="Calibri" w:hAnsi="Calibri" w:eastAsia="方正小标宋简体" w:cs="Times New Roman"/>
          <w:sz w:val="44"/>
          <w:szCs w:val="44"/>
        </w:rPr>
      </w:pPr>
    </w:p>
    <w:p>
      <w:pPr>
        <w:pStyle w:val="3"/>
        <w:pageBreakBefore w:val="0"/>
        <w:widowControl w:val="0"/>
        <w:kinsoku/>
        <w:wordWrap/>
        <w:overflowPunct/>
        <w:topLinePunct w:val="0"/>
        <w:autoSpaceDE/>
        <w:autoSpaceDN/>
        <w:bidi w:val="0"/>
        <w:adjustRightInd/>
        <w:snapToGrid/>
        <w:spacing w:line="580" w:lineRule="exact"/>
        <w:textAlignment w:val="auto"/>
      </w:pPr>
    </w:p>
    <w:p>
      <w:pPr>
        <w:pageBreakBefore w:val="0"/>
        <w:widowControl w:val="0"/>
        <w:kinsoku/>
        <w:wordWrap/>
        <w:overflowPunct/>
        <w:topLinePunct w:val="0"/>
        <w:autoSpaceDE/>
        <w:autoSpaceDN/>
        <w:bidi w:val="0"/>
        <w:adjustRightInd/>
        <w:snapToGrid/>
        <w:spacing w:line="580" w:lineRule="exact"/>
        <w:ind w:right="1280"/>
        <w:textAlignment w:val="auto"/>
        <w:rPr>
          <w:rFonts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52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桂贸促函〔</w:t>
      </w:r>
      <w:r>
        <w:rPr>
          <w:rFonts w:hint="eastAsia" w:ascii="Times New Roman" w:hAnsi="Times New Roman" w:eastAsia="仿宋_GB2312" w:cs="Times New Roman"/>
          <w:sz w:val="32"/>
          <w:szCs w:val="32"/>
        </w:rPr>
        <w:t>2020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305</w:t>
      </w:r>
      <w:r>
        <w:rPr>
          <w:rFonts w:ascii="Times New Roman" w:hAnsi="Times New Roman" w:eastAsia="仿宋_GB2312" w:cs="Times New Roman"/>
          <w:sz w:val="32"/>
          <w:szCs w:val="32"/>
        </w:rPr>
        <w:t>号</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p>
    <w:p>
      <w:pPr>
        <w:spacing w:line="64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广西贸促会关于商请组织参观全球高精新特展览会、海内外高端人才创新创业博览会的函</w:t>
      </w:r>
    </w:p>
    <w:p>
      <w:pPr>
        <w:spacing w:line="600" w:lineRule="exact"/>
        <w:ind w:firstLine="640" w:firstLineChars="200"/>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各承办单位：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由中国科学技术协会和广西壮族自治区人民政府主办的2020中国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东盟汇商聚智高峰论坛、第二届中国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东盟人工智能峰会、世界500强企业首席科学家大会将于2020年11月13</w:t>
      </w:r>
      <w:r>
        <w:rPr>
          <w:rFonts w:ascii="Times New Roman" w:hAnsi="Times New Roman" w:eastAsia="仿宋_GB2312" w:cs="Times New Roman"/>
          <w:spacing w:val="-11"/>
          <w:sz w:val="32"/>
          <w:szCs w:val="32"/>
        </w:rPr>
        <w:t>日至15日在广西南宁国际会展中心举办，我会与贵单位共同承办。</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全球高精新特展览会暨海内外高端人才创新创业博览会</w:t>
      </w:r>
      <w:r>
        <w:rPr>
          <w:rFonts w:ascii="Times New Roman" w:hAnsi="Times New Roman" w:eastAsia="仿宋_GB2312" w:cs="Times New Roman"/>
          <w:sz w:val="32"/>
          <w:szCs w:val="32"/>
        </w:rPr>
        <w:t>是配套展览会，设科技成果、数字技术、高端装备制造、新能源新材料、创新环境、综合展区等6大展区（具体位置：D区</w:t>
      </w:r>
      <w:r>
        <w:rPr>
          <w:rFonts w:ascii="Times New Roman" w:hAnsi="Times New Roman" w:eastAsia="仿宋_GB2312" w:cs="Times New Roman"/>
          <w:kern w:val="0"/>
          <w:sz w:val="32"/>
          <w:szCs w:val="32"/>
        </w:rPr>
        <w:t>5/6/7/12/13/14号馆</w:t>
      </w:r>
      <w:r>
        <w:rPr>
          <w:rFonts w:ascii="Times New Roman" w:hAnsi="Times New Roman" w:eastAsia="仿宋_GB2312" w:cs="Times New Roman"/>
          <w:sz w:val="32"/>
          <w:szCs w:val="32"/>
        </w:rPr>
        <w:t>）。一批知名优秀企业将携高精新特黑科技、产品亮相。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展的世界500强企业有：谷歌、西门子、奔驰、宝马、丰田、华为、阿里、腾讯、移动、联通、电信、招商银行、工商银行、中国铝业、吉利、绿地、平安、广投等18家。中国知名企业有：浪潮、讯飞、紫光、北大资源、启迪、广汽、三环、大疆、红旗、泛微、商汤、云上动力、即唱、小栗子、天融信、迪普、祥云等。海内外高端人才展团有：100位国内外院士、特聘专家500多项创新成果、专利、技术、产品。全国高校展团有：清华大学、北京大学、北京理工大学、中国科技大学、广西大学、广西医科大学、桂林电子科技大学等一批985、211工程院校研究团队。广西展团有：广西建工、数字广西、中国东信、信创、林业集团等知名企业。</w:t>
      </w:r>
    </w:p>
    <w:p>
      <w:pPr>
        <w:pStyle w:val="9"/>
        <w:spacing w:line="560"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同期还有</w:t>
      </w:r>
      <w:r>
        <w:rPr>
          <w:rFonts w:ascii="Times New Roman" w:hAnsi="Times New Roman" w:eastAsia="仿宋_GB2312" w:cs="Times New Roman"/>
          <w:color w:val="000000" w:themeColor="text1"/>
          <w:sz w:val="32"/>
          <w:szCs w:val="32"/>
          <w14:textFill>
            <w14:solidFill>
              <w14:schemeClr w14:val="tx1"/>
            </w14:solidFill>
          </w14:textFill>
        </w:rPr>
        <w:t>海内外高端人才创新创业成果展</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在外广西籍杰出人才座谈会</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东盟人工智能文化教育发展论坛</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北京大学项目路演、金慧达数字化工业用品服务平台全球首发仪式、广西大学科技园对接会</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东盟区块链创新产业论坛</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sz w:val="32"/>
          <w:szCs w:val="32"/>
        </w:rPr>
        <w:t>数十场论坛和对接活动。现诚邀各承办单位组织本系统工作人员、下属机构</w:t>
      </w:r>
      <w:r>
        <w:rPr>
          <w:rFonts w:hint="eastAsia" w:ascii="Times New Roman" w:hAnsi="Times New Roman" w:eastAsia="仿宋_GB2312" w:cs="Times New Roman"/>
          <w:sz w:val="32"/>
          <w:szCs w:val="32"/>
        </w:rPr>
        <w:t>及相关</w:t>
      </w:r>
      <w:r>
        <w:rPr>
          <w:rFonts w:ascii="Times New Roman" w:hAnsi="Times New Roman" w:eastAsia="仿宋_GB2312" w:cs="Times New Roman"/>
          <w:sz w:val="32"/>
          <w:szCs w:val="32"/>
        </w:rPr>
        <w:t>企业观展和洽谈合作！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为保障现场观展秩序及提前做好相关接待工作，请各单位提前报送参观人数、</w:t>
      </w:r>
      <w:r>
        <w:rPr>
          <w:rFonts w:hint="eastAsia" w:ascii="Times New Roman" w:hAnsi="Times New Roman" w:eastAsia="仿宋_GB2312" w:cs="Times New Roman"/>
          <w:sz w:val="32"/>
          <w:szCs w:val="32"/>
        </w:rPr>
        <w:t>场次</w:t>
      </w:r>
      <w:r>
        <w:rPr>
          <w:rFonts w:ascii="Times New Roman" w:hAnsi="Times New Roman" w:eastAsia="仿宋_GB2312" w:cs="Times New Roman"/>
          <w:sz w:val="32"/>
          <w:szCs w:val="32"/>
        </w:rPr>
        <w:t>安排及联系人信息。另，烦请各单位将所附</w:t>
      </w:r>
      <w:r>
        <w:rPr>
          <w:rFonts w:hint="eastAsia" w:ascii="Times New Roman" w:hAnsi="Times New Roman" w:eastAsia="仿宋_GB2312" w:cs="Times New Roman"/>
          <w:sz w:val="32"/>
          <w:szCs w:val="32"/>
        </w:rPr>
        <w:t>展会宣传资料</w:t>
      </w:r>
      <w:r>
        <w:rPr>
          <w:rFonts w:ascii="Times New Roman" w:hAnsi="Times New Roman" w:eastAsia="仿宋_GB2312" w:cs="Times New Roman"/>
          <w:sz w:val="32"/>
          <w:szCs w:val="32"/>
        </w:rPr>
        <w:t>在官网、公众号等渠道宣传推广。感谢</w:t>
      </w:r>
      <w:r>
        <w:rPr>
          <w:rFonts w:hint="eastAsia" w:ascii="Times New Roman" w:hAnsi="Times New Roman" w:eastAsia="仿宋_GB2312" w:cs="Times New Roman"/>
          <w:sz w:val="32"/>
          <w:szCs w:val="32"/>
        </w:rPr>
        <w:t>贵</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一直以来</w:t>
      </w:r>
      <w:r>
        <w:rPr>
          <w:rFonts w:ascii="Times New Roman" w:hAnsi="Times New Roman" w:eastAsia="仿宋_GB2312" w:cs="Times New Roman"/>
          <w:sz w:val="32"/>
          <w:szCs w:val="32"/>
        </w:rPr>
        <w:t>对我会工作的大力支持！</w:t>
      </w:r>
    </w:p>
    <w:p>
      <w:pPr>
        <w:pStyle w:val="2"/>
        <w:spacing w:line="560" w:lineRule="exact"/>
        <w:ind w:firstLine="51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专此致函。</w:t>
      </w:r>
    </w:p>
    <w:p>
      <w:pPr>
        <w:pStyle w:val="9"/>
        <w:spacing w:line="560" w:lineRule="exact"/>
        <w:ind w:left="198" w:leftChars="0" w:hanging="198" w:hangingChars="62"/>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观展报名表</w:t>
      </w:r>
    </w:p>
    <w:p>
      <w:pPr>
        <w:pStyle w:val="2"/>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展会宣传资料</w:t>
      </w:r>
    </w:p>
    <w:p>
      <w:pPr>
        <w:spacing w:line="560" w:lineRule="exact"/>
        <w:ind w:firstLine="6080" w:firstLineChars="1900"/>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（此页无正文）</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广西贸促会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2020年11月</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556" w:firstLineChars="200"/>
        <w:textAlignment w:val="auto"/>
        <w:rPr>
          <w:rFonts w:ascii="Times New Roman" w:hAnsi="Times New Roman" w:eastAsia="仿宋" w:cs="Times New Roman"/>
          <w:spacing w:val="-11"/>
          <w:sz w:val="30"/>
          <w:szCs w:val="30"/>
        </w:rPr>
      </w:pPr>
      <w:r>
        <w:rPr>
          <w:rFonts w:ascii="Times New Roman" w:hAnsi="Times New Roman" w:eastAsia="仿宋" w:cs="Times New Roman"/>
          <w:spacing w:val="-11"/>
          <w:sz w:val="30"/>
          <w:szCs w:val="30"/>
        </w:rPr>
        <w:t>（联系人：周先军，电话：18680292278，邮箱：1556492177@qq.com）</w:t>
      </w:r>
    </w:p>
    <w:p>
      <w:pPr>
        <w:pStyle w:val="9"/>
        <w:keepNext w:val="0"/>
        <w:keepLines w:val="0"/>
        <w:pageBreakBefore w:val="0"/>
        <w:widowControl w:val="0"/>
        <w:kinsoku/>
        <w:wordWrap/>
        <w:overflowPunct/>
        <w:topLinePunct w:val="0"/>
        <w:autoSpaceDE/>
        <w:autoSpaceDN/>
        <w:bidi w:val="0"/>
        <w:adjustRightInd/>
        <w:snapToGrid/>
        <w:spacing w:line="580" w:lineRule="exact"/>
        <w:ind w:leftChars="0" w:firstLine="0" w:firstLineChars="0"/>
        <w:jc w:val="left"/>
        <w:textAlignment w:val="auto"/>
        <w:rPr>
          <w:rFonts w:ascii="Times New Roman" w:hAnsi="Times New Roman"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黑体" w:eastAsia="黑体" w:cs="Times New Roman"/>
          <w:sz w:val="32"/>
          <w:szCs w:val="32"/>
        </w:rPr>
      </w:pPr>
    </w:p>
    <w:p>
      <w:pPr>
        <w:spacing w:line="64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ascii="Times New Roman" w:hAnsi="Times New Roman" w:eastAsia="方正小标宋简体" w:cs="Times New Roman"/>
          <w:b/>
          <w:sz w:val="44"/>
          <w:szCs w:val="44"/>
        </w:rPr>
      </w:pPr>
    </w:p>
    <w:p>
      <w:pPr>
        <w:adjustRightInd w:val="0"/>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观展报名表</w:t>
      </w:r>
    </w:p>
    <w:p>
      <w:pPr>
        <w:pStyle w:val="2"/>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人数</w:t>
            </w:r>
          </w:p>
        </w:tc>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40" w:type="dxa"/>
            <w:vMerge w:val="restart"/>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参观</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场次</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安排</w:t>
            </w:r>
          </w:p>
        </w:tc>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□11月13日下午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40" w:type="dxa"/>
            <w:vMerge w:val="continue"/>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p>
        </w:tc>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□11月14日上午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40" w:type="dxa"/>
            <w:vMerge w:val="continue"/>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p>
        </w:tc>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□11月14日下午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40" w:type="dxa"/>
            <w:vMerge w:val="continue"/>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p>
        </w:tc>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□11月15日上午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240" w:type="dxa"/>
            <w:vMerge w:val="continue"/>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p>
        </w:tc>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□11月15日下午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联系人及电话</w:t>
            </w:r>
          </w:p>
        </w:tc>
        <w:tc>
          <w:tcPr>
            <w:tcW w:w="4240" w:type="dxa"/>
          </w:tcPr>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Times New Roman" w:hAnsi="Times New Roman" w:eastAsia="仿宋_GB2312" w:cs="Times New Roman"/>
                <w:sz w:val="32"/>
                <w:szCs w:val="32"/>
              </w:rPr>
            </w:pPr>
          </w:p>
        </w:tc>
      </w:tr>
    </w:tbl>
    <w:p>
      <w:pPr>
        <w:adjustRightInd w:val="0"/>
        <w:spacing w:line="320" w:lineRule="exact"/>
        <w:jc w:val="center"/>
        <w:rPr>
          <w:rFonts w:ascii="Times New Roman" w:hAnsi="Times New Roman" w:eastAsia="微软雅黑" w:cs="Times New Roman"/>
          <w:b/>
          <w:sz w:val="30"/>
          <w:szCs w:val="30"/>
        </w:rPr>
      </w:pPr>
    </w:p>
    <w:p>
      <w:pPr>
        <w:pStyle w:val="9"/>
        <w:ind w:left="840" w:hanging="420"/>
        <w:rPr>
          <w:rFonts w:ascii="Times New Roman" w:hAnsi="Times New Roman" w:cs="Times New Roman"/>
        </w:rPr>
      </w:pPr>
    </w:p>
    <w:p>
      <w:pPr>
        <w:spacing w:line="600" w:lineRule="exact"/>
        <w:outlineLvl w:val="1"/>
        <w:rPr>
          <w:rFonts w:ascii="Times New Roman" w:hAnsi="Times New Roman" w:eastAsia="方正小标宋简体" w:cs="Times New Roman"/>
          <w:bCs/>
          <w:sz w:val="44"/>
          <w:szCs w:val="44"/>
        </w:rPr>
      </w:pPr>
      <w:bookmarkStart w:id="0" w:name="_Toc12972"/>
      <w:r>
        <w:rPr>
          <w:rFonts w:ascii="Times New Roman" w:hAnsi="Times New Roman" w:eastAsia="仿宋_GB2312" w:cs="Times New Roman"/>
          <w:bCs/>
          <w:sz w:val="44"/>
          <w:szCs w:val="44"/>
        </w:rPr>
        <w:drawing>
          <wp:anchor distT="0" distB="0" distL="114300" distR="114300" simplePos="0" relativeHeight="251662336" behindDoc="1" locked="0" layoutInCell="1" allowOverlap="1">
            <wp:simplePos x="0" y="0"/>
            <wp:positionH relativeFrom="column">
              <wp:posOffset>1673860</wp:posOffset>
            </wp:positionH>
            <wp:positionV relativeFrom="paragraph">
              <wp:posOffset>375920</wp:posOffset>
            </wp:positionV>
            <wp:extent cx="1672590" cy="1435100"/>
            <wp:effectExtent l="0" t="0" r="3810" b="12700"/>
            <wp:wrapNone/>
            <wp:docPr id="6" name="图片 6" descr="6fc30b6524818398b743fd508908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fc30b6524818398b743fd508908e16"/>
                    <pic:cNvPicPr>
                      <a:picLocks noChangeAspect="1"/>
                    </pic:cNvPicPr>
                  </pic:nvPicPr>
                  <pic:blipFill>
                    <a:blip r:embed="rId5" cstate="print"/>
                    <a:stretch>
                      <a:fillRect/>
                    </a:stretch>
                  </pic:blipFill>
                  <pic:spPr>
                    <a:xfrm>
                      <a:off x="0" y="0"/>
                      <a:ext cx="1672590" cy="1435100"/>
                    </a:xfrm>
                    <a:prstGeom prst="rect">
                      <a:avLst/>
                    </a:prstGeom>
                  </pic:spPr>
                </pic:pic>
              </a:graphicData>
            </a:graphic>
          </wp:anchor>
        </w:drawing>
      </w:r>
      <w:r>
        <w:rPr>
          <w:rFonts w:ascii="Times New Roman" w:hAnsi="Times New Roman" w:eastAsia="方正小标宋简体" w:cs="Times New Roman"/>
          <w:bCs/>
          <w:sz w:val="44"/>
          <w:szCs w:val="44"/>
        </w:rPr>
        <w:t>扫观展二维码进行预登记：</w:t>
      </w:r>
    </w:p>
    <w:p>
      <w:pPr>
        <w:pStyle w:val="24"/>
        <w:ind w:firstLine="880"/>
        <w:rPr>
          <w:rFonts w:ascii="Times New Roman" w:hAnsi="Times New Roman" w:eastAsia="方正小标宋简体" w:cs="Times New Roman"/>
          <w:bCs/>
          <w:sz w:val="44"/>
          <w:szCs w:val="44"/>
        </w:rPr>
      </w:pPr>
    </w:p>
    <w:p>
      <w:pPr>
        <w:spacing w:line="600" w:lineRule="exact"/>
        <w:outlineLvl w:val="1"/>
        <w:rPr>
          <w:rFonts w:ascii="Times New Roman" w:hAnsi="Times New Roman" w:eastAsia="方正小标宋简体" w:cs="Times New Roman"/>
          <w:bCs/>
          <w:sz w:val="44"/>
          <w:szCs w:val="44"/>
        </w:rPr>
      </w:pPr>
    </w:p>
    <w:p>
      <w:pPr>
        <w:spacing w:line="600" w:lineRule="exact"/>
        <w:outlineLvl w:val="1"/>
        <w:rPr>
          <w:rFonts w:ascii="Times New Roman" w:hAnsi="Times New Roman" w:eastAsia="方正小标宋简体" w:cs="Times New Roman"/>
          <w:bCs/>
          <w:sz w:val="44"/>
          <w:szCs w:val="44"/>
        </w:rPr>
      </w:pPr>
    </w:p>
    <w:p>
      <w:pPr>
        <w:spacing w:line="600" w:lineRule="exact"/>
        <w:outlineLvl w:val="1"/>
        <w:rPr>
          <w:rFonts w:ascii="Times New Roman" w:hAnsi="Times New Roman" w:eastAsia="方正小标宋简体" w:cs="Times New Roman"/>
          <w:bCs/>
          <w:sz w:val="44"/>
          <w:szCs w:val="44"/>
        </w:rPr>
      </w:pPr>
    </w:p>
    <w:p>
      <w:pPr>
        <w:spacing w:line="600" w:lineRule="exact"/>
        <w:outlineLvl w:val="1"/>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drawing>
          <wp:anchor distT="0" distB="0" distL="114300" distR="114300" simplePos="0" relativeHeight="251661312" behindDoc="0" locked="0" layoutInCell="1" allowOverlap="1">
            <wp:simplePos x="0" y="0"/>
            <wp:positionH relativeFrom="column">
              <wp:posOffset>1354455</wp:posOffset>
            </wp:positionH>
            <wp:positionV relativeFrom="paragraph">
              <wp:posOffset>352425</wp:posOffset>
            </wp:positionV>
            <wp:extent cx="2295525" cy="2133600"/>
            <wp:effectExtent l="0" t="0" r="9525" b="0"/>
            <wp:wrapNone/>
            <wp:docPr id="7" name="图片 3" descr="68ea0a89e245408df267ae36b42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68ea0a89e245408df267ae36b425721"/>
                    <pic:cNvPicPr>
                      <a:picLocks noChangeAspect="1"/>
                    </pic:cNvPicPr>
                  </pic:nvPicPr>
                  <pic:blipFill>
                    <a:blip r:embed="rId6" cstate="print"/>
                    <a:stretch>
                      <a:fillRect/>
                    </a:stretch>
                  </pic:blipFill>
                  <pic:spPr>
                    <a:xfrm>
                      <a:off x="0" y="0"/>
                      <a:ext cx="2295525" cy="2133600"/>
                    </a:xfrm>
                    <a:prstGeom prst="rect">
                      <a:avLst/>
                    </a:prstGeom>
                    <a:noFill/>
                    <a:ln w="9525">
                      <a:noFill/>
                    </a:ln>
                  </pic:spPr>
                </pic:pic>
              </a:graphicData>
            </a:graphic>
          </wp:anchor>
        </w:drawing>
      </w:r>
      <w:r>
        <w:rPr>
          <w:rFonts w:ascii="Times New Roman" w:hAnsi="Times New Roman" w:eastAsia="方正小标宋简体" w:cs="Times New Roman"/>
          <w:bCs/>
          <w:sz w:val="44"/>
          <w:szCs w:val="44"/>
        </w:rPr>
        <w:t>扫“扫码抗疫情”二维码</w:t>
      </w:r>
      <w:bookmarkEnd w:id="0"/>
      <w:r>
        <w:rPr>
          <w:rFonts w:ascii="Times New Roman" w:hAnsi="Times New Roman" w:eastAsia="方正小标宋简体" w:cs="Times New Roman"/>
          <w:bCs/>
          <w:sz w:val="44"/>
          <w:szCs w:val="44"/>
        </w:rPr>
        <w:t>入场：</w:t>
      </w:r>
    </w:p>
    <w:p>
      <w:pPr>
        <w:spacing w:line="600" w:lineRule="exact"/>
        <w:ind w:firstLine="640" w:firstLineChars="200"/>
        <w:rPr>
          <w:rFonts w:ascii="Times New Roman" w:hAnsi="Times New Roman" w:eastAsia="仿宋_GB2312" w:cs="Times New Roman"/>
          <w:sz w:val="32"/>
          <w:szCs w:val="32"/>
        </w:rPr>
      </w:pPr>
    </w:p>
    <w:p/>
    <w:p>
      <w:pPr>
        <w:spacing w:line="640" w:lineRule="exact"/>
        <w:rPr>
          <w:rFonts w:ascii="Times New Roman" w:hAnsi="Times New Roman" w:eastAsia="黑体" w:cs="Times New Roman"/>
          <w:sz w:val="32"/>
          <w:szCs w:val="32"/>
        </w:rPr>
      </w:pPr>
    </w:p>
    <w:p>
      <w:pPr>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pStyle w:val="2"/>
      </w:pPr>
    </w:p>
    <w:p>
      <w:pPr>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展会宣传资料</w:t>
      </w:r>
    </w:p>
    <w:p>
      <w:pPr>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广西将举办全球高精新特展览会</w:t>
      </w:r>
    </w:p>
    <w:p>
      <w:pPr>
        <w:pageBreakBefore w:val="0"/>
        <w:kinsoku/>
        <w:wordWrap/>
        <w:overflowPunct/>
        <w:topLinePunct w:val="0"/>
        <w:autoSpaceDE/>
        <w:autoSpaceDN/>
        <w:bidi w:val="0"/>
        <w:adjustRightInd/>
        <w:snapToGrid/>
        <w:spacing w:line="580" w:lineRule="exact"/>
        <w:ind w:firstLine="560" w:firstLineChars="200"/>
        <w:textAlignment w:val="auto"/>
        <w:rPr>
          <w:rFonts w:ascii="Times New Roman" w:hAnsi="Times New Roman" w:eastAsia="宋体" w:cs="Times New Roman"/>
          <w:sz w:val="28"/>
          <w:szCs w:val="28"/>
        </w:rPr>
      </w:pP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2020中国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东盟汇商聚智高峰论坛将于2020年11月13日至15日在广西南宁举办。本届论坛是今年中国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东盟博览会、中国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商务与投资峰会框架下的重要论坛，由中国科学技术协会和广西壮族自治区人民政府主办。论坛以“聚才聚智聚成果，创新创业创未来”为主题，安排了展览、论坛、路演、考察等内容；展览面积2万平方米，有200多家企业参展，预计将有20个国家的客商、投资商、观众到会，线上观众将超过50万人次，各项活动将超过30场。</w:t>
      </w:r>
    </w:p>
    <w:p>
      <w:pPr>
        <w:pageBreakBefore w:val="0"/>
        <w:kinsoku/>
        <w:wordWrap/>
        <w:overflowPunct/>
        <w:topLinePunct w:val="0"/>
        <w:autoSpaceDE/>
        <w:autoSpaceDN/>
        <w:bidi w:val="0"/>
        <w:adjustRightInd/>
        <w:snapToGrid/>
        <w:spacing w:line="580" w:lineRule="exact"/>
        <w:ind w:firstLine="42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东盟汇商聚智高峰论坛已经成功举办6届，取得了丰硕的成果，已经成为中国与东盟招才引智的重要平台。记者在今日举行的新闻发布会上了解到，本届论坛将聚焦广西</w:t>
      </w:r>
      <w:r>
        <w:rPr>
          <w:rFonts w:ascii="Times New Roman" w:hAnsi="Times New Roman" w:eastAsia="仿宋_GB2312" w:cs="Times New Roman"/>
          <w:color w:val="000000" w:themeColor="text1"/>
          <w:sz w:val="32"/>
          <w:szCs w:val="32"/>
          <w14:textFill>
            <w14:solidFill>
              <w14:schemeClr w14:val="tx1"/>
            </w14:solidFill>
          </w14:textFill>
        </w:rPr>
        <w:t>重点产业、战略性新兴产业特别是数字产业高质量发展需求，通过“科创中国”有效链接整合“政产学研金服用”各类创新要素，推动广西科技经济深度融合，促进海内外高端人才创新创业、科技成果转化落地，促进科技成果面向大西南转移承接，促进企业依托广西优越的地理位置拓展东盟国家市场，以产引才、以才促产、产才融合，打造具有国际影响力的品牌展览会。</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广西贸促会副会长丁元龙在今日举行的新闻发布会上说，今年的论坛是在原来基础上进行提档升级，将凸显以下七个方面的特色：</w:t>
      </w:r>
    </w:p>
    <w:p>
      <w:pPr>
        <w:pStyle w:val="11"/>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一是突出丰富性，集“会、展、洽、行”为一体。本届论坛和展览，探索采取“会套会、展中</w:t>
      </w:r>
      <w:r>
        <w:rPr>
          <w:rFonts w:ascii="Times New Roman" w:hAnsi="Times New Roman" w:eastAsia="仿宋_GB2312" w:cs="Times New Roman"/>
          <w:sz w:val="32"/>
          <w:szCs w:val="32"/>
        </w:rPr>
        <w:t>展”的新模式，包括“三会三展”及7大系列活动。“</w:t>
      </w:r>
      <w:r>
        <w:rPr>
          <w:rFonts w:ascii="Times New Roman" w:hAnsi="Times New Roman" w:eastAsia="仿宋_GB2312" w:cs="Times New Roman"/>
          <w:color w:val="000000" w:themeColor="text1"/>
          <w:sz w:val="32"/>
          <w:szCs w:val="32"/>
          <w14:textFill>
            <w14:solidFill>
              <w14:schemeClr w14:val="tx1"/>
            </w14:solidFill>
          </w14:textFill>
        </w:rPr>
        <w:t>三会</w:t>
      </w:r>
      <w:r>
        <w:rPr>
          <w:rFonts w:ascii="Times New Roman" w:hAnsi="Times New Roman" w:eastAsia="仿宋_GB2312" w:cs="Times New Roman"/>
          <w:sz w:val="32"/>
          <w:szCs w:val="32"/>
        </w:rPr>
        <w:t>”即</w:t>
      </w:r>
      <w:r>
        <w:rPr>
          <w:rFonts w:ascii="Times New Roman" w:hAnsi="Times New Roman" w:eastAsia="仿宋_GB2312" w:cs="Times New Roman"/>
          <w:color w:val="000000" w:themeColor="text1"/>
          <w:sz w:val="32"/>
          <w:szCs w:val="32"/>
          <w14:textFill>
            <w14:solidFill>
              <w14:schemeClr w14:val="tx1"/>
            </w14:solidFill>
          </w14:textFill>
        </w:rPr>
        <w:t>2020中国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东盟汇商聚智高峰论坛、第二届中国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东盟人工智能峰会、世界500强企业首席科学家大会。</w:t>
      </w:r>
      <w:r>
        <w:rPr>
          <w:rFonts w:ascii="Times New Roman" w:hAnsi="Times New Roman" w:eastAsia="仿宋_GB2312" w:cs="Times New Roman"/>
          <w:sz w:val="32"/>
          <w:szCs w:val="32"/>
        </w:rPr>
        <w:t>“三展”即：</w:t>
      </w:r>
      <w:r>
        <w:rPr>
          <w:rFonts w:ascii="Times New Roman" w:hAnsi="Times New Roman" w:eastAsia="仿宋_GB2312" w:cs="Times New Roman"/>
          <w:color w:val="000000" w:themeColor="text1"/>
          <w:sz w:val="32"/>
          <w:szCs w:val="32"/>
          <w14:textFill>
            <w14:solidFill>
              <w14:schemeClr w14:val="tx1"/>
            </w14:solidFill>
          </w14:textFill>
        </w:rPr>
        <w:t>2020海内外高端人才创新创业博览会、全球高精新特展览会、海内外高端人才创新创业成果展。</w:t>
      </w:r>
      <w:r>
        <w:rPr>
          <w:rFonts w:ascii="Times New Roman" w:hAnsi="Times New Roman" w:eastAsia="仿宋_GB2312" w:cs="Times New Roman"/>
          <w:sz w:val="32"/>
          <w:szCs w:val="32"/>
        </w:rPr>
        <w:t>7大系列活动即：</w:t>
      </w:r>
      <w:r>
        <w:rPr>
          <w:rFonts w:ascii="Times New Roman" w:hAnsi="Times New Roman" w:eastAsia="仿宋_GB2312" w:cs="Times New Roman"/>
          <w:color w:val="000000" w:themeColor="text1"/>
          <w:sz w:val="32"/>
          <w:szCs w:val="32"/>
          <w14:textFill>
            <w14:solidFill>
              <w14:schemeClr w14:val="tx1"/>
            </w14:solidFill>
          </w14:textFill>
        </w:rPr>
        <w:t>在外广西籍杰出人才回乡交流座谈会、中国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东盟高新技术产业合作发展大会、中国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东盟青年企业家论坛、中国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东盟区块链创新产业论坛、腾讯科大讯飞中国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东盟智能文化教育发展论坛、华为鲲鹏凌云智创未来论坛及其它数十场路演活动。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二是突出人才性，吸引更多海内外高端人才落户广西。本届</w:t>
      </w:r>
      <w:r>
        <w:rPr>
          <w:rFonts w:ascii="Times New Roman" w:hAnsi="Times New Roman" w:eastAsia="仿宋_GB2312" w:cs="Times New Roman"/>
          <w:sz w:val="32"/>
          <w:szCs w:val="32"/>
        </w:rPr>
        <w:t>论坛邀请了100位海内外院士、高端人才参展，重点展示专家成果、广西引才需求、地市政策、人才载体等内容。包函大物流、大健康、数字经济、新能源、新材料、新制造、现代农业等广西产业发展热点需要的人才，通过图文、视频等形式展出高新技术和高科技产品，用信息化手段延续和深化广西招才引智工作，同时，还开展“展览展示、路演对接、洽谈交流、自贸区考察”等丰富活动。</w:t>
      </w:r>
    </w:p>
    <w:p>
      <w:pPr>
        <w:pStyle w:val="11"/>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三是突出</w:t>
      </w:r>
      <w:r>
        <w:rPr>
          <w:rFonts w:ascii="Times New Roman" w:hAnsi="Times New Roman" w:eastAsia="仿宋_GB2312" w:cs="Times New Roman"/>
          <w:color w:val="000000" w:themeColor="text1"/>
          <w:sz w:val="32"/>
          <w:szCs w:val="32"/>
          <w14:textFill>
            <w14:solidFill>
              <w14:schemeClr w14:val="tx1"/>
            </w14:solidFill>
          </w14:textFill>
        </w:rPr>
        <w:t>前沿性，展示战略高精新特领域的尖端技术。本届展览会设科技成果与国际交流合作、数字技术、高端装备制造、新能源新材料、创新环境、综合展区等6大展区，将集中展示国内外高精新特科技前沿领域的关键技术、核心技术、尖端技术在经济社会各领域的广泛应用。</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四是突出品牌性，一批国内外知名企业和机构参展。</w:t>
      </w:r>
      <w:r>
        <w:rPr>
          <w:rFonts w:ascii="Times New Roman" w:hAnsi="Times New Roman" w:eastAsia="仿宋_GB2312" w:cs="Times New Roman"/>
          <w:sz w:val="32"/>
          <w:szCs w:val="32"/>
        </w:rPr>
        <w:t>参展的世界500强企业有谷歌、西门子、奔驰、宝马、丰田、华为、阿里、腾讯、移动、联通、电信、招商银行、工商银行、中国铝业、吉利、绿地、平安、广投等18家；参展的中国知名企业有浪潮、讯飞、紫光、同方、北大资源、启迪、广汽、三环、大疆、红旗、泛微、商汤、云上动力、即唱、小栗子、天融信、迪普、祥云等。</w:t>
      </w:r>
    </w:p>
    <w:p>
      <w:pPr>
        <w:pStyle w:val="11"/>
        <w:pageBreakBefore w:val="0"/>
        <w:kinsoku/>
        <w:wordWrap/>
        <w:overflowPunct/>
        <w:topLinePunct w:val="0"/>
        <w:autoSpaceDE/>
        <w:autoSpaceDN/>
        <w:bidi w:val="0"/>
        <w:adjustRightInd/>
        <w:snapToGrid/>
        <w:spacing w:after="0" w:line="580" w:lineRule="exact"/>
        <w:ind w:firstLine="68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五是突</w:t>
      </w:r>
      <w:r>
        <w:rPr>
          <w:rFonts w:ascii="Times New Roman" w:hAnsi="Times New Roman" w:eastAsia="仿宋_GB2312" w:cs="Times New Roman"/>
          <w:sz w:val="32"/>
          <w:szCs w:val="32"/>
        </w:rPr>
        <w:t>出开放性，一批国内外知名人士参加论坛。</w:t>
      </w:r>
      <w:r>
        <w:rPr>
          <w:rFonts w:ascii="Times New Roman" w:hAnsi="Times New Roman" w:eastAsia="仿宋_GB2312" w:cs="Times New Roman"/>
          <w:color w:val="000000" w:themeColor="text1"/>
          <w:sz w:val="32"/>
          <w:szCs w:val="32"/>
          <w14:textFill>
            <w14:solidFill>
              <w14:schemeClr w14:val="tx1"/>
            </w14:solidFill>
          </w14:textFill>
        </w:rPr>
        <w:t>本次活动会将立足东盟，围绕“一带一路”倡议，加大对沿线国家政府、商协会、行业组织、重要嘉宾的邀请力度，邀请海外知名的前政要、科学家、企业家、经济学家等国际名人参与论坛。日本前首相鸠山由纪夫、巴基斯坦前总理阿齐兹、泰国前副总理功·塔帕郎西、诺贝尔得主康斯坦丁确认进行视频录播致辞。清华大学脑与认知科学研究院首席科学家、美国工程院院士陈世卿等专家学者确认进行专题演讲。京东集团技术委员会主席，京东智联云总裁周伯文，西门子工业软件大中华区副总裁兼首席技术官方志刚，中国平安保险（集团）股份有限公司首席科学家、技术研究院院长肖京等将进行主题发言。</w:t>
      </w:r>
    </w:p>
    <w:p>
      <w:pPr>
        <w:pStyle w:val="11"/>
        <w:pageBreakBefore w:val="0"/>
        <w:kinsoku/>
        <w:wordWrap/>
        <w:overflowPunct/>
        <w:topLinePunct w:val="0"/>
        <w:autoSpaceDE/>
        <w:autoSpaceDN/>
        <w:bidi w:val="0"/>
        <w:adjustRightInd/>
        <w:snapToGrid/>
        <w:spacing w:after="0" w:line="580" w:lineRule="exact"/>
        <w:ind w:firstLine="68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六是突出创新性，展现融通创新能力。</w:t>
      </w:r>
      <w:r>
        <w:rPr>
          <w:rFonts w:ascii="Times New Roman" w:hAnsi="Times New Roman" w:eastAsia="仿宋_GB2312" w:cs="Times New Roman"/>
          <w:color w:val="000000" w:themeColor="text1"/>
          <w:sz w:val="32"/>
          <w:szCs w:val="32"/>
          <w14:textFill>
            <w14:solidFill>
              <w14:schemeClr w14:val="tx1"/>
            </w14:solidFill>
          </w14:textFill>
        </w:rPr>
        <w:t>本次活动邀请一批海内外知名高校、研究机构、重点实验室、研发中心、产业联盟等参加，展示产学研有机结合的技术创新成果。</w:t>
      </w:r>
      <w:r>
        <w:rPr>
          <w:rFonts w:ascii="Times New Roman" w:hAnsi="Times New Roman" w:eastAsia="仿宋_GB2312" w:cs="Times New Roman"/>
          <w:sz w:val="32"/>
          <w:szCs w:val="32"/>
        </w:rPr>
        <w:t>清华大学、北京大学、北京理工大学、中国科技大学、广西大学等一批985、211工程院校研究团队确认参展。</w:t>
      </w:r>
      <w:r>
        <w:rPr>
          <w:rFonts w:ascii="Times New Roman" w:hAnsi="Times New Roman" w:eastAsia="仿宋_GB2312" w:cs="Times New Roman"/>
          <w:color w:val="000000" w:themeColor="text1"/>
          <w:sz w:val="32"/>
          <w:szCs w:val="32"/>
          <w14:textFill>
            <w14:solidFill>
              <w14:schemeClr w14:val="tx1"/>
            </w14:solidFill>
          </w14:textFill>
        </w:rPr>
        <w:t>为实现创新各主体、各环节、各方面的相互支撑、高效互动，还邀请了IDG、青山资本、心元资本、科技金融服务平台等机构参展参会，并组织广西14个市举办营商环境展，并举办项目融资路演会、项目配对洽谈活动等一系列交易促进活动，为创新创业发展提供全景式服务平台。</w:t>
      </w:r>
    </w:p>
    <w:p>
      <w:pPr>
        <w:pStyle w:val="11"/>
        <w:pageBreakBefore w:val="0"/>
        <w:kinsoku/>
        <w:wordWrap/>
        <w:overflowPunct/>
        <w:topLinePunct w:val="0"/>
        <w:autoSpaceDE/>
        <w:autoSpaceDN/>
        <w:bidi w:val="0"/>
        <w:adjustRightInd/>
        <w:snapToGrid/>
        <w:spacing w:after="0" w:line="580" w:lineRule="exact"/>
        <w:ind w:firstLine="680" w:firstLineChars="0"/>
        <w:textAlignment w:val="auto"/>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七是突出实效性，用线下线上方式推进更多项目合作。</w:t>
      </w:r>
      <w:r>
        <w:rPr>
          <w:rFonts w:ascii="Times New Roman" w:hAnsi="Times New Roman" w:eastAsia="仿宋_GB2312" w:cs="Times New Roman"/>
          <w:sz w:val="32"/>
          <w:szCs w:val="32"/>
        </w:rPr>
        <w:t>为应对疫情影响需要，适应信息化发展，探索人才引进新模式，提高项目对接洽谈效率，将举办首届“云上海博会”，各项功能将于11月13日全面上线，将利用云平台组织开展“云展示、云对接、云推荐、云发布”等全年化线上活动。“云上海博会”将上线500家以上企业2000多种产品和技术。</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海内外高端人才创新创业成果展是本次论坛的“重头戏”之一。自治区人力资源和社会保障厅党组成员、副厅长、一级巡视员，自治区党委人才工作领导小组办公室副主任蒋</w:t>
      </w:r>
      <w:r>
        <w:rPr>
          <w:rFonts w:ascii="Times New Roman" w:hAnsi="Times New Roman" w:eastAsia="宋体" w:cs="Times New Roman"/>
          <w:sz w:val="32"/>
          <w:szCs w:val="32"/>
        </w:rPr>
        <w:t>劼</w:t>
      </w:r>
      <w:r>
        <w:rPr>
          <w:rFonts w:ascii="Times New Roman" w:hAnsi="Times New Roman" w:eastAsia="仿宋_GB2312" w:cs="Times New Roman"/>
          <w:sz w:val="32"/>
          <w:szCs w:val="32"/>
        </w:rPr>
        <w:t>在新闻发布会上介绍，已经成功举办四届的“海创展”，搭建了宣传推介广西人才政策和人才环境的平台，推动了包括东盟国家在内的海内外高端人才、各领域专业人士聚焦广西产业发展，吸引了一批海内外高层次人才项目落地广西，实现了以高层次人才引进服务广西产业转型升级。</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年来，“海创展”根据广西产业项目需求，累计邀请了453位海内外高端人才携“高精尖”项目参展，推动51个人才项目落地广西，其中15个项目已形成较大的产业效益。与此同时，有10个国家重大人才项目在一定程度上填补了广西的技术空白，实现产业的突破引领，预计带动产值超过15亿元。</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蒋</w:t>
      </w:r>
      <w:r>
        <w:rPr>
          <w:rFonts w:ascii="Times New Roman" w:hAnsi="Times New Roman" w:eastAsia="宋体" w:cs="Times New Roman"/>
          <w:sz w:val="32"/>
          <w:szCs w:val="32"/>
        </w:rPr>
        <w:t>劼</w:t>
      </w:r>
      <w:r>
        <w:rPr>
          <w:rFonts w:ascii="Times New Roman" w:hAnsi="Times New Roman" w:eastAsia="仿宋_GB2312" w:cs="Times New Roman"/>
          <w:sz w:val="32"/>
          <w:szCs w:val="32"/>
        </w:rPr>
        <w:t>说，今年的“海创展”将按照“云上展+线下展、集中展+常态展”的模式开展，线下展设置在南宁国际会展中心D5馆。今年将精准遴选并邀请包括33名国家重大人才项目人选在内的59名高层次人才，携高精尖项目现场参展。届时，现场将展示基于激光雷达技术的无人机应用、智能高速机器视觉平台、数字孪生系统、仿生机器狗等大量“黑科技”的成果项目。“海创展”还搭建了“云上海创展”的线上展示活动平台，在线展示“云引智”，打造“永不落幕”的海创展，以常态化面向全球来征集高层次人才项目参展。</w:t>
      </w:r>
      <w:bookmarkStart w:id="1" w:name="_GoBack"/>
      <w:bookmarkEnd w:id="1"/>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同期举办的第二届中国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东盟人工智能峰会是广西壮族自治区政府推进广西人工智能发展，促进中国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东盟人工智能的技术交流合作的重要举措。此次峰会包括一个主论坛、两个分论坛，并通过线上和线下结合的方式进行。</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大数据局副局长吴志伟在今日举行新闻发布会上说，2020年是中国－东盟数字经济合作年，是中国与东盟共商、共建、共享数字丝绸之路的机遇之年。推动人工智能的应用推广，赋能各领域各行业高质量发展，是推动数字经济发展的应有之义。</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本届峰会将呈现出四大亮点：</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一是高端性。峰会是中国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东盟博览会、中国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东盟商务与投资峰会和中国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东盟信息港论坛的重要组成部分，是中国特别是广西对外开放的重要平台。除东盟国家的嘉宾以外，峰会还邀请了联合国教科文组织、东亚、南亚、欧美等国家和地区的政要、专家和企业家前来参会。</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是专业性。出席峰会的有诺贝尔奖获得者，中国“两院”院士，国外人工智能领域的顶级专家，世界级知名企业的首席技术官等，他们将从人工智能的前沿理念、最新动态、技术路径、场景应用、产业发展等方面，分享人工智能的理论和实践精华。   </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是商务性。峰会以华为、阿里、腾讯、百度、京东等国内信息化领域知名企业，以及西门子等国外知名企业代表为参会主体。安排了线上线下展会和洽谈，旨在为海内外参会参展企业开拓市场优选渠道，推动业务合作落地，助力国内大循环和国际国内双循环。</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是融合性。考虑到疫情影响，峰会采取了线上线下相结合的方式，既有面对面交流，也有键对键的沟通。特别是数字技术展会，主要通过线上展示方式，重点呈现物联网、5G、人工智能、智能穿戴、大数据、区块链、智能制造、电子商务的技术应用；以及虚拟现实视觉技术设备等产品展示。</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来自东盟秘书处的资料显示，预计到2025年，东盟的数字经济将从2015年占GDP的1.3%提高到8.5%。为进一步支持数字化转型，东盟正在制定“第四次工业革命综合战略”，旨在解决第四次工业革命在治理、经济和社会等方面面临的问题。中国在发展数字基础设施和实现数字经济监管框架方面具有很高的专业水平，是东盟在推动本地区数字经济发展方面的珍贵伙伴。</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近年来，广西充分发挥面向东盟开放合作前沿的优势，大力推动人工智能研发应用和产业转化，一批人工智能产品生产企业落户广西，多种人工智能产品在广西形成产能，传统产业广泛应用人工智能提高效能，有力促进了广西数字经济发展。</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吴志伟说，</w:t>
      </w:r>
      <w:r>
        <w:rPr>
          <w:rFonts w:ascii="Times New Roman" w:hAnsi="Times New Roman" w:eastAsia="仿宋_GB2312" w:cs="Times New Roman"/>
          <w:snapToGrid w:val="0"/>
          <w:color w:val="000000" w:themeColor="text1"/>
          <w:sz w:val="32"/>
          <w:szCs w:val="32"/>
          <w14:textFill>
            <w14:solidFill>
              <w14:schemeClr w14:val="tx1"/>
            </w14:solidFill>
          </w14:textFill>
        </w:rPr>
        <w:t>广西发展人工智能的举措主要包括构建完善顶层设计、强化政策驱动产业发展、加快推进项目落地建设、建立人工智能创新体系。</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今年，数字广西建设提出了实施“五十百千”增效提质工程，即重点推进5个数字经济示范区、10大数字经济产业园、100个重点项目，力争形成1000亿元的新产值。目前，华为、海康威视、商汤等国内人工智能龙头企业在广西建设智能终端生产基地，边缘计算摄像头、AI服务器等多种人工智能产品实现量产。</w:t>
      </w:r>
    </w:p>
    <w:p>
      <w:pPr>
        <w:pStyle w:val="11"/>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此外，广西已建立中国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东盟（华为）人工智能创新中心、中国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东盟信息港云端智能创新产业研究院等一批人工智能创新研发平台，人工智能创新体系初步建立。其中，中国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东盟（华</w:t>
      </w:r>
      <w:r>
        <w:rPr>
          <w:rFonts w:ascii="Times New Roman" w:hAnsi="Times New Roman" w:eastAsia="仿宋_GB2312" w:cs="Times New Roman"/>
          <w:spacing w:val="-11"/>
          <w:sz w:val="32"/>
          <w:szCs w:val="32"/>
        </w:rPr>
        <w:t>为）人工智能创新中心已为33个合作项目累计下发2000万云资源。</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打造政策洼地，进一步激发广西数字经济发展活力，10月16日，广西召开了数字广西建设推进电视电话会议，对今后一段时期的工作进行了动员部署。同时，自治区政府出台了《加快广西数字经济发展的若干措施》，从培育市场主体、加快产业集聚、鼓励技术创新、推动数字技术与实体经济融合发展、加快数字基础设施建设、加强数字经济人才队伍建设、强化数字经济发展的用地和融资保障等7方面提出了30条具体措施。政策实施期内，自治区层面每年将安排资金约15亿元对符合条件的企业、机构给予奖补。其中，在培育数字经济市场主体方面，明确提出要支持数字经济重点领域企业发展，该项措施预计年财政补贴达2.6亿元。</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32"/>
          <w:szCs w:val="32"/>
        </w:rPr>
        <w:t>目前，广西正在推动《广西数字经济发展规划（2018</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2025年）》修订，编制《广西数字经济发展三年行动计划（2021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2023年）》，编制广西推动数字经济发展的行动指南，统筹布局新一轮数字经济发展格局，全力加快广西产业数字化和数字产业化进程，推动广西数字经济跨越发展。（完）</w:t>
      </w:r>
      <w:r>
        <w:rPr>
          <w:rFonts w:ascii="Times New Roman" w:hAnsi="Times New Roman" w:eastAsia="仿宋_GB2312" w:cs="Times New Roman"/>
          <w:sz w:val="28"/>
          <w:szCs w:val="28"/>
        </w:rPr>
        <w:t xml:space="preserve"> </w:t>
      </w:r>
    </w:p>
    <w:p>
      <w:pPr>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pPr>
        <w:pStyle w:val="3"/>
        <w:pageBreakBefore w:val="0"/>
        <w:widowControl w:val="0"/>
        <w:kinsoku/>
        <w:wordWrap/>
        <w:overflowPunct/>
        <w:topLinePunct w:val="0"/>
        <w:autoSpaceDE/>
        <w:autoSpaceDN/>
        <w:bidi w:val="0"/>
        <w:adjustRightInd/>
        <w:snapToGrid/>
        <w:spacing w:line="620" w:lineRule="exact"/>
        <w:textAlignment w:val="auto"/>
      </w:pPr>
    </w:p>
    <w:p>
      <w:pPr>
        <w:pageBreakBefore w:val="0"/>
        <w:widowControl w:val="0"/>
        <w:kinsoku/>
        <w:wordWrap/>
        <w:overflowPunct/>
        <w:topLinePunct w:val="0"/>
        <w:autoSpaceDE/>
        <w:autoSpaceDN/>
        <w:bidi w:val="0"/>
        <w:adjustRightInd/>
        <w:snapToGrid/>
        <w:spacing w:line="620" w:lineRule="exact"/>
        <w:textAlignment w:val="auto"/>
      </w:pPr>
    </w:p>
    <w:p>
      <w:pPr>
        <w:pStyle w:val="3"/>
        <w:pageBreakBefore w:val="0"/>
        <w:widowControl w:val="0"/>
        <w:kinsoku/>
        <w:wordWrap/>
        <w:overflowPunct/>
        <w:topLinePunct w:val="0"/>
        <w:autoSpaceDE/>
        <w:autoSpaceDN/>
        <w:bidi w:val="0"/>
        <w:adjustRightInd/>
        <w:snapToGrid/>
        <w:spacing w:line="620" w:lineRule="exact"/>
        <w:textAlignment w:val="auto"/>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0" w:lineRule="exact"/>
        <w:ind w:firstLine="210" w:firstLineChars="100"/>
        <w:jc w:val="left"/>
        <w:textAlignment w:val="auto"/>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401320</wp:posOffset>
                </wp:positionV>
                <wp:extent cx="559879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1.6pt;height:0pt;width:440.85pt;z-index:251660288;mso-width-relative:page;mso-height-relative:page;" filled="f" stroked="t" coordsize="21600,21600" o:gfxdata="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kRhx1QAAAAcB&#10;AAAPAAAAAAAAAAEAIAAAACIAAABkcnMvZG93bnJldi54bWxQSwECFAAUAAAACACHTuJADIGsd+UB&#10;AACrAwAADgAAAAAAAAABACAAAAAk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keepNext w:val="0"/>
        <w:keepLines w:val="0"/>
        <w:pageBreakBefore w:val="0"/>
        <w:widowControl w:val="0"/>
        <w:kinsoku/>
        <w:wordWrap/>
        <w:overflowPunct/>
        <w:topLinePunct w:val="0"/>
        <w:autoSpaceDE/>
        <w:autoSpaceDN/>
        <w:bidi w:val="0"/>
        <w:adjustRightInd/>
        <w:snapToGrid/>
        <w:spacing w:line="580" w:lineRule="exact"/>
        <w:ind w:firstLine="315" w:firstLineChars="150"/>
        <w:jc w:val="left"/>
        <w:textAlignment w:val="auto"/>
      </w:pPr>
      <w:r>
        <w:rPr>
          <w:rFonts w:hint="default"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382270</wp:posOffset>
                </wp:positionV>
                <wp:extent cx="559879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0.1pt;height:0pt;width:440.85pt;z-index:251661312;mso-width-relative:page;mso-height-relative:page;" filled="f" stroked="t" coordsize="21600,21600" o:gfxdata="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Dj0ITUAAAABwEA&#10;AA8AAAAAAAAAAQAgAAAAIgAAAGRycy9kb3ducmV2LnhtbFBLAQIUABQAAAAIAIdO4kDBremu5QEA&#10;AKsDAAAOAAAAAAAAAAEAIAAAACMBAABkcnMvZTJvRG9jLnhtbFBLBQYAAAAABgAGAFkBAAB6BQAA&#10;AAA=&#10;">
                <v:fill on="f" focussize="0,0"/>
                <v:stroke weight="1pt" color="#000000" joinstyle="round"/>
                <v:imagedata o:title=""/>
                <o:lock v:ext="edit" aspectratio="f"/>
              </v:line>
            </w:pict>
          </mc:Fallback>
        </mc:AlternateContent>
      </w:r>
      <w:r>
        <w:rPr>
          <w:rFonts w:hint="default" w:ascii="Times New Roman" w:hAnsi="Times New Roman" w:eastAsia="宋体" w:cs="Times New Roman"/>
        </w:rPr>
        <w:drawing>
          <wp:anchor distT="0" distB="0" distL="114300" distR="114300" simplePos="0" relativeHeight="251662336" behindDoc="0" locked="0" layoutInCell="1" allowOverlap="1">
            <wp:simplePos x="0" y="0"/>
            <wp:positionH relativeFrom="column">
              <wp:posOffset>3717925</wp:posOffset>
            </wp:positionH>
            <wp:positionV relativeFrom="paragraph">
              <wp:posOffset>513715</wp:posOffset>
            </wp:positionV>
            <wp:extent cx="1790700" cy="419100"/>
            <wp:effectExtent l="0" t="0" r="0" b="0"/>
            <wp:wrapNone/>
            <wp:docPr id="5" name="图片 5"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E646BA88C9868F43B857C8DAAA9E8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2020年</w:t>
      </w:r>
      <w:r>
        <w:rPr>
          <w:rFonts w:hint="default"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日印发</w:t>
      </w:r>
    </w:p>
    <w:sectPr>
      <w:footerReference r:id="rId3" w:type="default"/>
      <w:pgSz w:w="11906" w:h="16838"/>
      <w:pgMar w:top="2098" w:right="1474" w:bottom="1701" w:left="1587" w:header="851" w:footer="992"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7611A"/>
    <w:rsid w:val="000129A5"/>
    <w:rsid w:val="000756C3"/>
    <w:rsid w:val="00083374"/>
    <w:rsid w:val="00090984"/>
    <w:rsid w:val="000C3004"/>
    <w:rsid w:val="000F05C3"/>
    <w:rsid w:val="001461BC"/>
    <w:rsid w:val="001475E8"/>
    <w:rsid w:val="001E13A7"/>
    <w:rsid w:val="001F3196"/>
    <w:rsid w:val="002125AC"/>
    <w:rsid w:val="00223AF2"/>
    <w:rsid w:val="00260A2A"/>
    <w:rsid w:val="003C333C"/>
    <w:rsid w:val="00417A80"/>
    <w:rsid w:val="0043072E"/>
    <w:rsid w:val="00447906"/>
    <w:rsid w:val="00454B79"/>
    <w:rsid w:val="00492775"/>
    <w:rsid w:val="004A204A"/>
    <w:rsid w:val="004A28FD"/>
    <w:rsid w:val="00580C07"/>
    <w:rsid w:val="00612F49"/>
    <w:rsid w:val="00613A20"/>
    <w:rsid w:val="006301BD"/>
    <w:rsid w:val="00631C94"/>
    <w:rsid w:val="006633D6"/>
    <w:rsid w:val="006A14BD"/>
    <w:rsid w:val="006B027F"/>
    <w:rsid w:val="00735C48"/>
    <w:rsid w:val="00752313"/>
    <w:rsid w:val="007976A6"/>
    <w:rsid w:val="007A2D6A"/>
    <w:rsid w:val="00806DDA"/>
    <w:rsid w:val="00820C05"/>
    <w:rsid w:val="00880391"/>
    <w:rsid w:val="008C1477"/>
    <w:rsid w:val="00900BDD"/>
    <w:rsid w:val="009247D9"/>
    <w:rsid w:val="00930140"/>
    <w:rsid w:val="00937369"/>
    <w:rsid w:val="00937473"/>
    <w:rsid w:val="00965B48"/>
    <w:rsid w:val="00996EC2"/>
    <w:rsid w:val="009C5D24"/>
    <w:rsid w:val="009E14FD"/>
    <w:rsid w:val="00A0183B"/>
    <w:rsid w:val="00A05F3C"/>
    <w:rsid w:val="00A8183F"/>
    <w:rsid w:val="00A85125"/>
    <w:rsid w:val="00AA74EF"/>
    <w:rsid w:val="00AA776F"/>
    <w:rsid w:val="00AD589F"/>
    <w:rsid w:val="00AE3E6C"/>
    <w:rsid w:val="00AF310A"/>
    <w:rsid w:val="00AF4784"/>
    <w:rsid w:val="00B472DC"/>
    <w:rsid w:val="00C36374"/>
    <w:rsid w:val="00C660A4"/>
    <w:rsid w:val="00C939AB"/>
    <w:rsid w:val="00CA641C"/>
    <w:rsid w:val="00CE1DC7"/>
    <w:rsid w:val="00DF7B50"/>
    <w:rsid w:val="00E92A7E"/>
    <w:rsid w:val="00EA00B8"/>
    <w:rsid w:val="00EE17C6"/>
    <w:rsid w:val="00F46D28"/>
    <w:rsid w:val="00F615DD"/>
    <w:rsid w:val="00FA16EF"/>
    <w:rsid w:val="01B91086"/>
    <w:rsid w:val="02273BE0"/>
    <w:rsid w:val="026A440E"/>
    <w:rsid w:val="026A5621"/>
    <w:rsid w:val="029431DB"/>
    <w:rsid w:val="02C84DB4"/>
    <w:rsid w:val="040834D7"/>
    <w:rsid w:val="05331138"/>
    <w:rsid w:val="0600311C"/>
    <w:rsid w:val="073804DE"/>
    <w:rsid w:val="0A640895"/>
    <w:rsid w:val="0AB077DF"/>
    <w:rsid w:val="0AB62CAF"/>
    <w:rsid w:val="0ADC5867"/>
    <w:rsid w:val="0BE563A9"/>
    <w:rsid w:val="0D387D22"/>
    <w:rsid w:val="0DBE2BBB"/>
    <w:rsid w:val="0E2A7CB9"/>
    <w:rsid w:val="0E916C8B"/>
    <w:rsid w:val="0E955534"/>
    <w:rsid w:val="0FC349A3"/>
    <w:rsid w:val="109C0293"/>
    <w:rsid w:val="11B93E2E"/>
    <w:rsid w:val="14384C86"/>
    <w:rsid w:val="14D80D52"/>
    <w:rsid w:val="152736C7"/>
    <w:rsid w:val="162C6456"/>
    <w:rsid w:val="172E3EA7"/>
    <w:rsid w:val="17F05DF9"/>
    <w:rsid w:val="18207587"/>
    <w:rsid w:val="18983DE9"/>
    <w:rsid w:val="18DB68FF"/>
    <w:rsid w:val="19162C01"/>
    <w:rsid w:val="19B77DB1"/>
    <w:rsid w:val="1AFF124C"/>
    <w:rsid w:val="1B664110"/>
    <w:rsid w:val="1B8125C5"/>
    <w:rsid w:val="1B921EA3"/>
    <w:rsid w:val="1B993E0B"/>
    <w:rsid w:val="1C405C74"/>
    <w:rsid w:val="1D3721AA"/>
    <w:rsid w:val="1EB43A7C"/>
    <w:rsid w:val="1F9952D6"/>
    <w:rsid w:val="20B34D2F"/>
    <w:rsid w:val="21265C5C"/>
    <w:rsid w:val="21F23729"/>
    <w:rsid w:val="21FF59B0"/>
    <w:rsid w:val="2246050C"/>
    <w:rsid w:val="225B00E9"/>
    <w:rsid w:val="22D4256C"/>
    <w:rsid w:val="22ED4A46"/>
    <w:rsid w:val="23444CD5"/>
    <w:rsid w:val="23DD112D"/>
    <w:rsid w:val="25C514B2"/>
    <w:rsid w:val="25F115F1"/>
    <w:rsid w:val="26052F5C"/>
    <w:rsid w:val="26D11108"/>
    <w:rsid w:val="277609FB"/>
    <w:rsid w:val="2808451B"/>
    <w:rsid w:val="28247FAF"/>
    <w:rsid w:val="28B07DE9"/>
    <w:rsid w:val="28F1226F"/>
    <w:rsid w:val="29161FFB"/>
    <w:rsid w:val="296E164F"/>
    <w:rsid w:val="29844471"/>
    <w:rsid w:val="2A997192"/>
    <w:rsid w:val="2A9B5164"/>
    <w:rsid w:val="2B7B3F21"/>
    <w:rsid w:val="2CED4012"/>
    <w:rsid w:val="2EA45BAC"/>
    <w:rsid w:val="2F3F799B"/>
    <w:rsid w:val="2F445449"/>
    <w:rsid w:val="30733CC1"/>
    <w:rsid w:val="30FF1BC6"/>
    <w:rsid w:val="315A03FE"/>
    <w:rsid w:val="3186652F"/>
    <w:rsid w:val="31901ACE"/>
    <w:rsid w:val="31F02327"/>
    <w:rsid w:val="32031F7A"/>
    <w:rsid w:val="32420EFC"/>
    <w:rsid w:val="32977A15"/>
    <w:rsid w:val="333B30D0"/>
    <w:rsid w:val="33970599"/>
    <w:rsid w:val="33C27C87"/>
    <w:rsid w:val="344D27D6"/>
    <w:rsid w:val="34B03EF9"/>
    <w:rsid w:val="34DB635C"/>
    <w:rsid w:val="34F92A92"/>
    <w:rsid w:val="3533781E"/>
    <w:rsid w:val="35382B9F"/>
    <w:rsid w:val="36AF1784"/>
    <w:rsid w:val="36B0446A"/>
    <w:rsid w:val="36B51281"/>
    <w:rsid w:val="37547C88"/>
    <w:rsid w:val="38044A84"/>
    <w:rsid w:val="39B03FE8"/>
    <w:rsid w:val="39CC04C9"/>
    <w:rsid w:val="39DF6CDE"/>
    <w:rsid w:val="3A426702"/>
    <w:rsid w:val="3A723D50"/>
    <w:rsid w:val="3B141A76"/>
    <w:rsid w:val="3B223C30"/>
    <w:rsid w:val="3B2561ED"/>
    <w:rsid w:val="3B4B0E8C"/>
    <w:rsid w:val="3B585002"/>
    <w:rsid w:val="3B7258D7"/>
    <w:rsid w:val="3C116BF5"/>
    <w:rsid w:val="3CBE106F"/>
    <w:rsid w:val="3DF43223"/>
    <w:rsid w:val="3EAA711E"/>
    <w:rsid w:val="3F447E22"/>
    <w:rsid w:val="3FC5257B"/>
    <w:rsid w:val="408C4FDF"/>
    <w:rsid w:val="40D26798"/>
    <w:rsid w:val="4169272C"/>
    <w:rsid w:val="41AA0F3C"/>
    <w:rsid w:val="41FB35D7"/>
    <w:rsid w:val="42A0093B"/>
    <w:rsid w:val="42FC4728"/>
    <w:rsid w:val="43520392"/>
    <w:rsid w:val="44A27714"/>
    <w:rsid w:val="44C57494"/>
    <w:rsid w:val="451E6A98"/>
    <w:rsid w:val="4566318C"/>
    <w:rsid w:val="45687B64"/>
    <w:rsid w:val="46005EF9"/>
    <w:rsid w:val="46071E84"/>
    <w:rsid w:val="46551339"/>
    <w:rsid w:val="46B24CF7"/>
    <w:rsid w:val="46BC7ACC"/>
    <w:rsid w:val="46BD347C"/>
    <w:rsid w:val="47174211"/>
    <w:rsid w:val="47730A2F"/>
    <w:rsid w:val="48C27CF3"/>
    <w:rsid w:val="48CC2D42"/>
    <w:rsid w:val="49330FCC"/>
    <w:rsid w:val="49A6355D"/>
    <w:rsid w:val="49D802EA"/>
    <w:rsid w:val="4A365477"/>
    <w:rsid w:val="4B031557"/>
    <w:rsid w:val="4B2B5848"/>
    <w:rsid w:val="4BBA361A"/>
    <w:rsid w:val="4C0D5A0D"/>
    <w:rsid w:val="4C2401A3"/>
    <w:rsid w:val="4C936489"/>
    <w:rsid w:val="4CDE18D3"/>
    <w:rsid w:val="4E7B69C1"/>
    <w:rsid w:val="4E9D6EEF"/>
    <w:rsid w:val="4EF566F8"/>
    <w:rsid w:val="4EFD322A"/>
    <w:rsid w:val="4F0A0C77"/>
    <w:rsid w:val="4FAA3F4F"/>
    <w:rsid w:val="4FF145DC"/>
    <w:rsid w:val="4FF229CA"/>
    <w:rsid w:val="514530EE"/>
    <w:rsid w:val="51704772"/>
    <w:rsid w:val="5262624E"/>
    <w:rsid w:val="537B4320"/>
    <w:rsid w:val="537F7692"/>
    <w:rsid w:val="539A1950"/>
    <w:rsid w:val="53E1356F"/>
    <w:rsid w:val="54936599"/>
    <w:rsid w:val="54D5574B"/>
    <w:rsid w:val="551B5AEE"/>
    <w:rsid w:val="55296CDB"/>
    <w:rsid w:val="55586D9A"/>
    <w:rsid w:val="55906E95"/>
    <w:rsid w:val="55C97BAB"/>
    <w:rsid w:val="55D97F85"/>
    <w:rsid w:val="56D35C29"/>
    <w:rsid w:val="56D90A91"/>
    <w:rsid w:val="571B419D"/>
    <w:rsid w:val="57C87950"/>
    <w:rsid w:val="581966EF"/>
    <w:rsid w:val="582C75D7"/>
    <w:rsid w:val="585C701A"/>
    <w:rsid w:val="58F725FD"/>
    <w:rsid w:val="596B369E"/>
    <w:rsid w:val="596F31EE"/>
    <w:rsid w:val="59F211D4"/>
    <w:rsid w:val="5A1B61EF"/>
    <w:rsid w:val="5A933982"/>
    <w:rsid w:val="5B8437EE"/>
    <w:rsid w:val="5BA74078"/>
    <w:rsid w:val="5C1171AB"/>
    <w:rsid w:val="5C7E50E7"/>
    <w:rsid w:val="5FE322F8"/>
    <w:rsid w:val="60057E63"/>
    <w:rsid w:val="607B0343"/>
    <w:rsid w:val="6142008A"/>
    <w:rsid w:val="622A01D6"/>
    <w:rsid w:val="62AD5F78"/>
    <w:rsid w:val="637B7148"/>
    <w:rsid w:val="65C823C9"/>
    <w:rsid w:val="664D591A"/>
    <w:rsid w:val="66835B99"/>
    <w:rsid w:val="669E0714"/>
    <w:rsid w:val="66CF193C"/>
    <w:rsid w:val="66F958F8"/>
    <w:rsid w:val="672F433D"/>
    <w:rsid w:val="67617DB8"/>
    <w:rsid w:val="67636558"/>
    <w:rsid w:val="677A7C4F"/>
    <w:rsid w:val="67DF401D"/>
    <w:rsid w:val="67DF745F"/>
    <w:rsid w:val="6B0E5718"/>
    <w:rsid w:val="6BDC2A4E"/>
    <w:rsid w:val="6C387C21"/>
    <w:rsid w:val="6DEC4242"/>
    <w:rsid w:val="6E334D3D"/>
    <w:rsid w:val="6EF0516F"/>
    <w:rsid w:val="6F0A19A9"/>
    <w:rsid w:val="6FC9644F"/>
    <w:rsid w:val="6FE20785"/>
    <w:rsid w:val="701613CB"/>
    <w:rsid w:val="702B0C9C"/>
    <w:rsid w:val="72431BE6"/>
    <w:rsid w:val="72FF19AA"/>
    <w:rsid w:val="73E60CAB"/>
    <w:rsid w:val="740A12E7"/>
    <w:rsid w:val="74896BFF"/>
    <w:rsid w:val="7684369D"/>
    <w:rsid w:val="76AB3BDE"/>
    <w:rsid w:val="7747611A"/>
    <w:rsid w:val="77B06373"/>
    <w:rsid w:val="77EE7B78"/>
    <w:rsid w:val="781C1BBD"/>
    <w:rsid w:val="78D70743"/>
    <w:rsid w:val="797B12AF"/>
    <w:rsid w:val="79A964B5"/>
    <w:rsid w:val="7A275ABC"/>
    <w:rsid w:val="7B0539E0"/>
    <w:rsid w:val="7B297A59"/>
    <w:rsid w:val="7BD73BF8"/>
    <w:rsid w:val="7C171D1C"/>
    <w:rsid w:val="7C205571"/>
    <w:rsid w:val="7D7002D6"/>
    <w:rsid w:val="7E362CC1"/>
    <w:rsid w:val="7E910181"/>
    <w:rsid w:val="7EAF4FFF"/>
    <w:rsid w:val="7F7158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fal" w:cs="Times New Roman"/>
      <w:kern w:val="2"/>
      <w:sz w:val="21"/>
      <w:szCs w:val="22"/>
      <w:lang w:val="en-US" w:eastAsia="zh-CN" w:bidi="ar-SA"/>
    </w:rPr>
  </w:style>
  <w:style w:type="paragraph" w:styleId="3">
    <w:name w:val="heading 2"/>
    <w:basedOn w:val="1"/>
    <w:next w:val="1"/>
    <w:unhideWhenUsed/>
    <w:qFormat/>
    <w:locked/>
    <w:uiPriority w:val="0"/>
    <w:pPr>
      <w:keepNext/>
      <w:keepLines/>
      <w:spacing w:line="416" w:lineRule="auto"/>
      <w:outlineLvl w:val="1"/>
    </w:pPr>
    <w:rPr>
      <w:rFonts w:ascii="Arial" w:hAnsi="Arial" w:eastAsia="楷体_GB2312" w:cs="Times New Roman"/>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eastAsia="宋体" w:cs="宋体"/>
      <w:bCs/>
      <w:spacing w:val="10"/>
      <w:kern w:val="0"/>
      <w:sz w:val="24"/>
    </w:rPr>
  </w:style>
  <w:style w:type="paragraph" w:styleId="4">
    <w:name w:val="Body Text"/>
    <w:basedOn w:val="1"/>
    <w:semiHidden/>
    <w:unhideWhenUsed/>
    <w:uiPriority w:val="99"/>
    <w:pPr>
      <w:spacing w:after="120"/>
    </w:pPr>
  </w:style>
  <w:style w:type="paragraph" w:styleId="5">
    <w:name w:val="Date"/>
    <w:basedOn w:val="1"/>
    <w:next w:val="1"/>
    <w:link w:val="22"/>
    <w:semiHidden/>
    <w:unhideWhenUsed/>
    <w:qFormat/>
    <w:uiPriority w:val="99"/>
    <w:pPr>
      <w:ind w:left="100" w:leftChars="2500"/>
    </w:pPr>
  </w:style>
  <w:style w:type="paragraph" w:styleId="6">
    <w:name w:val="Balloon Text"/>
    <w:basedOn w:val="1"/>
    <w:link w:val="23"/>
    <w:semiHidden/>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unhideWhenUsed/>
    <w:qFormat/>
    <w:uiPriority w:val="99"/>
    <w:pPr>
      <w:ind w:left="200" w:leftChars="200" w:hanging="200" w:hangingChars="200"/>
    </w:pPr>
  </w:style>
  <w:style w:type="paragraph" w:styleId="10">
    <w:name w:val="Normal (Web)"/>
    <w:basedOn w:val="1"/>
    <w:qFormat/>
    <w:uiPriority w:val="99"/>
    <w:pPr>
      <w:spacing w:beforeAutospacing="1" w:afterAutospacing="1"/>
      <w:jc w:val="left"/>
    </w:pPr>
    <w:rPr>
      <w:kern w:val="0"/>
      <w:sz w:val="24"/>
    </w:rPr>
  </w:style>
  <w:style w:type="paragraph" w:styleId="11">
    <w:name w:val="Body Text First Indent"/>
    <w:basedOn w:val="4"/>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FollowedHyperlink"/>
    <w:basedOn w:val="14"/>
    <w:qFormat/>
    <w:uiPriority w:val="99"/>
    <w:rPr>
      <w:rFonts w:cs="Times New Roman"/>
      <w:color w:val="333333"/>
      <w:u w:val="none"/>
    </w:rPr>
  </w:style>
  <w:style w:type="character" w:styleId="18">
    <w:name w:val="Hyperlink"/>
    <w:basedOn w:val="14"/>
    <w:qFormat/>
    <w:uiPriority w:val="99"/>
    <w:rPr>
      <w:rFonts w:cs="Times New Roman"/>
      <w:color w:val="333333"/>
      <w:u w:val="none"/>
    </w:rPr>
  </w:style>
  <w:style w:type="character" w:customStyle="1" w:styleId="19">
    <w:name w:val="页脚 字符"/>
    <w:basedOn w:val="14"/>
    <w:link w:val="7"/>
    <w:semiHidden/>
    <w:qFormat/>
    <w:uiPriority w:val="99"/>
    <w:rPr>
      <w:rFonts w:ascii="Calibri" w:hAnsi="Calibri"/>
      <w:sz w:val="18"/>
      <w:szCs w:val="18"/>
    </w:rPr>
  </w:style>
  <w:style w:type="character" w:customStyle="1" w:styleId="20">
    <w:name w:val="页眉 字符"/>
    <w:basedOn w:val="14"/>
    <w:link w:val="8"/>
    <w:semiHidden/>
    <w:qFormat/>
    <w:uiPriority w:val="99"/>
    <w:rPr>
      <w:rFonts w:ascii="Calibri" w:hAnsi="Calibri"/>
      <w:sz w:val="18"/>
      <w:szCs w:val="18"/>
    </w:rPr>
  </w:style>
  <w:style w:type="character" w:customStyle="1" w:styleId="21">
    <w:name w:val="bsharetext"/>
    <w:basedOn w:val="14"/>
    <w:qFormat/>
    <w:uiPriority w:val="99"/>
    <w:rPr>
      <w:rFonts w:cs="Times New Roman"/>
    </w:rPr>
  </w:style>
  <w:style w:type="character" w:customStyle="1" w:styleId="22">
    <w:name w:val="日期 字符"/>
    <w:basedOn w:val="14"/>
    <w:link w:val="5"/>
    <w:semiHidden/>
    <w:qFormat/>
    <w:uiPriority w:val="99"/>
    <w:rPr>
      <w:rFonts w:ascii="Calibri" w:hAnsi="Calibri"/>
      <w:kern w:val="2"/>
      <w:sz w:val="21"/>
      <w:szCs w:val="22"/>
    </w:rPr>
  </w:style>
  <w:style w:type="character" w:customStyle="1" w:styleId="23">
    <w:name w:val="批注框文本 字符"/>
    <w:basedOn w:val="14"/>
    <w:link w:val="6"/>
    <w:semiHidden/>
    <w:qFormat/>
    <w:uiPriority w:val="99"/>
    <w:rPr>
      <w:rFonts w:ascii="Calibri" w:hAnsi="Calibri"/>
      <w:kern w:val="2"/>
      <w:sz w:val="18"/>
      <w:szCs w:val="18"/>
    </w:rPr>
  </w:style>
  <w:style w:type="paragraph" w:customStyle="1" w:styleId="24">
    <w:name w:val="Normal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424BE-3805-441C-A7B3-2FEE04B3C8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204</Words>
  <Characters>1166</Characters>
  <Lines>9</Lines>
  <Paragraphs>2</Paragraphs>
  <TotalTime>6</TotalTime>
  <ScaleCrop>false</ScaleCrop>
  <LinksUpToDate>false</LinksUpToDate>
  <CharactersWithSpaces>1368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2020-11-06T02:12:00Z</dcterms:created>
  <dc:creator>袁沁</dc:creator>
  <cp:lastModifiedBy>zkmj</cp:lastModifiedBy>
  <cp:lastPrinted>2020-11-08T05:59:00Z</cp:lastPrinted>
  <dcterms:modified xsi:type="dcterms:W3CDTF">2020-11-09T01:00:44Z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